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Times New Roman" w:hAnsi="Times New Roman"/>
          <w:i/>
          <w:sz w:val="20"/>
        </w:rPr>
        <w:t>Annex No. 4 to Ordinance No. 166/2012-2016</w:t>
      </w:r>
    </w:p>
    <w:p>
      <w:pPr>
        <w:pStyle w:val="style0"/>
        <w:spacing w:after="0" w:before="0" w:line="100" w:lineRule="atLeast"/>
        <w:jc w:val="right"/>
      </w:pPr>
      <w:r>
        <w:rPr>
          <w:rFonts w:ascii="Times New Roman" w:hAnsi="Times New Roman"/>
          <w:i/>
          <w:sz w:val="20"/>
        </w:rPr>
        <w:t>of the University of Opole Senate of 02.06.2016</w:t>
      </w:r>
    </w:p>
    <w:p>
      <w:pPr>
        <w:pStyle w:val="style0"/>
        <w:spacing w:after="0" w:before="0"/>
        <w:jc w:val="center"/>
      </w:pPr>
      <w:r>
        <w:rPr>
          <w:i/>
          <w:iCs/>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57.55pt;height:54.55pt" type="shapetype_75">
              <v:fill detectmouseclick="t"/>
              <v:wrap v:type="none"/>
              <v:stroke color="gray" joinstyle="round"/>
            </v:shape>
          </w:pict>
        </w:rPr>
      </w:r>
    </w:p>
    <w:p>
      <w:pPr>
        <w:pStyle w:val="style0"/>
        <w:spacing w:after="0" w:before="0" w:line="100" w:lineRule="atLeast"/>
        <w:jc w:val="center"/>
      </w:pPr>
      <w:r>
        <w:rPr>
          <w:rFonts w:ascii="Times New Roman" w:hAnsi="Times New Roman"/>
          <w:b/>
          <w:sz w:val="48"/>
        </w:rPr>
        <w:t>Contract</w:t>
      </w:r>
    </w:p>
    <w:p>
      <w:pPr>
        <w:pStyle w:val="style0"/>
        <w:jc w:val="center"/>
      </w:pPr>
      <w:r>
        <w:rPr>
          <w:rFonts w:ascii="Times New Roman" w:hAnsi="Times New Roman"/>
          <w:b/>
          <w:color w:val="000000"/>
        </w:rPr>
        <w:t>on terms of conditions for fees payment by foreigners undertaking studies at the University of Opole on a fee-paying basis</w:t>
      </w:r>
    </w:p>
    <w:p>
      <w:pPr>
        <w:pStyle w:val="style0"/>
        <w:spacing w:after="0" w:before="0"/>
      </w:pPr>
      <w:r>
        <w:rPr>
          <w:rFonts w:ascii="Times New Roman" w:hAnsi="Times New Roman"/>
          <w:color w:val="000000"/>
        </w:rPr>
      </w:r>
    </w:p>
    <w:p>
      <w:pPr>
        <w:pStyle w:val="style0"/>
      </w:pPr>
      <w:r>
        <w:rPr>
          <w:rFonts w:ascii="Times New Roman" w:hAnsi="Times New Roman"/>
          <w:color w:val="000000"/>
        </w:rPr>
        <w:t>Contract concluded on ............................ by and between:</w:t>
      </w:r>
    </w:p>
    <w:p>
      <w:pPr>
        <w:pStyle w:val="style0"/>
        <w:tabs>
          <w:tab w:leader="dot" w:pos="8931" w:val="left"/>
        </w:tabs>
      </w:pPr>
      <w:r>
        <w:rPr>
          <w:rFonts w:ascii="Times New Roman" w:hAnsi="Times New Roman"/>
          <w:color w:val="000000"/>
        </w:rPr>
        <w:t>Ms./Mr</w:t>
        <w:tab/>
      </w:r>
    </w:p>
    <w:p>
      <w:pPr>
        <w:pStyle w:val="style0"/>
        <w:tabs>
          <w:tab w:leader="dot" w:pos="8931" w:val="left"/>
        </w:tabs>
      </w:pPr>
      <w:r>
        <w:rPr>
          <w:rFonts w:ascii="Times New Roman" w:hAnsi="Times New Roman"/>
          <w:color w:val="000000"/>
        </w:rPr>
        <w:t>holding the passport no.</w:t>
        <w:tab/>
      </w:r>
    </w:p>
    <w:p>
      <w:pPr>
        <w:pStyle w:val="style0"/>
        <w:tabs>
          <w:tab w:leader="dot" w:pos="8931" w:val="left"/>
        </w:tabs>
      </w:pPr>
      <w:r>
        <w:rPr>
          <w:rFonts w:ascii="Times New Roman" w:hAnsi="Times New Roman"/>
          <w:color w:val="000000"/>
        </w:rPr>
        <w:t>residing in</w:t>
        <w:tab/>
      </w:r>
    </w:p>
    <w:p>
      <w:pPr>
        <w:pStyle w:val="style0"/>
        <w:tabs>
          <w:tab w:leader="dot" w:pos="8931" w:val="left"/>
        </w:tabs>
      </w:pPr>
      <w:r>
        <w:rPr>
          <w:rFonts w:ascii="Times New Roman" w:hAnsi="Times New Roman"/>
          <w:color w:val="000000"/>
        </w:rPr>
        <w:t>providing the contact address</w:t>
        <w:tab/>
      </w:r>
    </w:p>
    <w:p>
      <w:pPr>
        <w:pStyle w:val="style0"/>
        <w:tabs>
          <w:tab w:leader="dot" w:pos="8931" w:val="left"/>
        </w:tabs>
      </w:pPr>
      <w:r>
        <w:rPr>
          <w:rFonts w:ascii="Times New Roman" w:hAnsi="Times New Roman"/>
          <w:color w:val="000000"/>
        </w:rPr>
        <w:t>register no.</w:t>
        <w:tab/>
      </w:r>
    </w:p>
    <w:p>
      <w:pPr>
        <w:pStyle w:val="style0"/>
      </w:pPr>
      <w:r>
        <w:rPr>
          <w:rFonts w:ascii="Times New Roman" w:hAnsi="Times New Roman"/>
          <w:color w:val="000000"/>
        </w:rPr>
        <w:t>hereinafter referred to as the foreigner, and</w:t>
      </w:r>
    </w:p>
    <w:p>
      <w:pPr>
        <w:pStyle w:val="style0"/>
        <w:jc w:val="both"/>
      </w:pPr>
      <w:r>
        <w:rPr>
          <w:rFonts w:ascii="Times New Roman" w:hAnsi="Times New Roman"/>
          <w:color w:val="000000"/>
        </w:rPr>
        <w:t>the University of Opole, hereinafter referred to as the University, represented by its representative,</w:t>
      </w:r>
    </w:p>
    <w:p>
      <w:pPr>
        <w:pStyle w:val="style0"/>
        <w:tabs>
          <w:tab w:leader="dot" w:pos="8931" w:val="left"/>
        </w:tabs>
      </w:pPr>
      <w:r>
        <w:rPr>
          <w:rFonts w:ascii="Times New Roman" w:hAnsi="Times New Roman"/>
          <w:color w:val="000000"/>
        </w:rPr>
        <w:tab/>
      </w:r>
    </w:p>
    <w:p>
      <w:pPr>
        <w:pStyle w:val="style0"/>
        <w:spacing w:after="120" w:before="0"/>
      </w:pPr>
      <w:r>
        <w:rPr>
          <w:rFonts w:ascii="Times New Roman" w:hAnsi="Times New Roman"/>
        </w:rPr>
        <w:t>authorised to make declarations of intent on behalf of the University on the basis of a mandate of the Rector.</w:t>
      </w:r>
    </w:p>
    <w:p>
      <w:pPr>
        <w:pStyle w:val="style0"/>
        <w:jc w:val="center"/>
      </w:pPr>
      <w:r>
        <w:rPr>
          <w:rFonts w:ascii="Times New Roman" w:hAnsi="Times New Roman"/>
          <w:color w:val="000000"/>
        </w:rPr>
        <w:t>§ 1</w:t>
      </w:r>
    </w:p>
    <w:p>
      <w:pPr>
        <w:pStyle w:val="style0"/>
        <w:jc w:val="both"/>
      </w:pPr>
      <w:r>
        <w:rPr>
          <w:rFonts w:ascii="Times New Roman" w:hAnsi="Times New Roman"/>
          <w:color w:val="000000"/>
        </w:rPr>
        <w:t>The subject matter shall be defining the terms and conditions for fees payment by a foreigner for education services provided by the University related to education on full-time/part-time* first degree, second degree, long-cycle studies</w:t>
      </w:r>
      <w:r>
        <w:rPr>
          <w:rFonts w:ascii="Times New Roman" w:hAnsi="Times New Roman"/>
          <w:color w:val="000000"/>
          <w:vertAlign w:val="superscript"/>
        </w:rPr>
        <w:t>*</w:t>
      </w:r>
      <w:r>
        <w:rPr>
          <w:rFonts w:ascii="Times New Roman" w:hAnsi="Times New Roman"/>
          <w:color w:val="000000"/>
        </w:rPr>
        <w:t xml:space="preserve"> on the basis of art. 43 pars. 3, 4 and 5 of the Act of 27 July 2005 </w:t>
      </w:r>
      <w:r>
        <w:rPr>
          <w:rFonts w:ascii="Times New Roman" w:hAnsi="Times New Roman"/>
          <w:color w:val="3366FF"/>
        </w:rPr>
        <w:t>–</w:t>
      </w:r>
      <w:r>
        <w:rPr>
          <w:rFonts w:ascii="Times New Roman" w:hAnsi="Times New Roman"/>
          <w:i/>
          <w:color w:val="000000"/>
        </w:rPr>
        <w:t xml:space="preserve"> Law on Higher Education </w:t>
      </w:r>
      <w:r>
        <w:rPr>
          <w:rFonts w:ascii="Times New Roman" w:hAnsi="Times New Roman"/>
          <w:color w:val="000000"/>
        </w:rPr>
        <w:t>(Journal of Laws No. 164, item. 1365, as amended), hereinafter referred to as the Act.</w:t>
      </w:r>
    </w:p>
    <w:p>
      <w:pPr>
        <w:pStyle w:val="style0"/>
        <w:jc w:val="center"/>
      </w:pPr>
      <w:r>
        <w:rPr>
          <w:rFonts w:ascii="Times New Roman" w:hAnsi="Times New Roman"/>
          <w:color w:val="000000"/>
        </w:rPr>
        <w:t>§ 2</w:t>
      </w:r>
    </w:p>
    <w:p>
      <w:pPr>
        <w:pStyle w:val="style0"/>
      </w:pPr>
      <w:r>
        <w:rPr>
          <w:rFonts w:ascii="Times New Roman" w:hAnsi="Times New Roman"/>
          <w:color w:val="000000"/>
        </w:rPr>
        <w:t>1. The University shall declare that:</w:t>
      </w:r>
    </w:p>
    <w:p>
      <w:pPr>
        <w:pStyle w:val="style0"/>
        <w:ind w:hanging="360" w:left="720" w:right="0"/>
        <w:jc w:val="both"/>
      </w:pPr>
      <w:r>
        <w:rPr>
          <w:rFonts w:ascii="Times New Roman" w:hAnsi="Times New Roman"/>
        </w:rPr>
        <w:t>1)</w:t>
        <w:tab/>
        <w:t>the conditions of studies are determined in accordance with the requirements of arts. 160a and 161 of the Act, and the detailed conditions of study in the next academic year/semester* including: a list of courses with the number of hours of lectures, classes, laboratories and trainings, a list of instructor names with their scientific degrees, place, time and manner of their conduct, as well as examination conditions of particular subjects will be given to the foreigner through the faculty’s website and the dean’s office special bulletin board before the start of each academic year,</w:t>
      </w:r>
    </w:p>
    <w:p>
      <w:pPr>
        <w:pStyle w:val="style0"/>
        <w:ind w:hanging="0" w:left="360" w:right="0"/>
      </w:pPr>
      <w:r>
        <w:rPr>
          <w:rFonts w:ascii="Times New Roman" w:hAnsi="Times New Roman"/>
          <w:color w:val="000000"/>
        </w:rPr>
        <w:t>2)</w:t>
        <w:tab/>
        <w:t>the studies undertaken by a foreigner shall finish with granting a professional title of</w:t>
      </w:r>
    </w:p>
    <w:p>
      <w:pPr>
        <w:pStyle w:val="style0"/>
        <w:ind w:hanging="0" w:left="720" w:right="0"/>
      </w:pPr>
      <w:r>
        <w:rPr>
          <w:rFonts w:ascii="Times New Roman" w:hAnsi="Times New Roman"/>
          <w:color w:val="000000"/>
        </w:rPr>
        <w:t>........................................................................................</w:t>
      </w:r>
    </w:p>
    <w:p>
      <w:pPr>
        <w:pStyle w:val="style0"/>
        <w:ind w:hanging="0" w:left="720" w:right="0"/>
      </w:pPr>
      <w:r>
        <w:rPr>
          <w:rFonts w:ascii="Times New Roman" w:hAnsi="Times New Roman"/>
          <w:color w:val="000000"/>
        </w:rPr>
        <w:t>........................................................................................,</w:t>
      </w:r>
    </w:p>
    <w:p>
      <w:pPr>
        <w:pStyle w:val="style0"/>
        <w:tabs>
          <w:tab w:leader="none" w:pos="1440" w:val="left"/>
        </w:tabs>
        <w:spacing w:after="0" w:before="0" w:line="100" w:lineRule="atLeast"/>
        <w:ind w:hanging="11" w:left="720" w:right="0"/>
        <w:jc w:val="both"/>
      </w:pPr>
      <w:r>
        <w:rPr>
          <w:rFonts w:ascii="Times New Roman" w:hAnsi="Times New Roman"/>
        </w:rPr>
        <w:t>to whose granting the University has powers and shall undertake to keep them until the end of the foreigner’s planned programme taking into account its possible extension in accordance with the Study Regulations.</w:t>
      </w:r>
    </w:p>
    <w:p>
      <w:pPr>
        <w:pStyle w:val="style0"/>
        <w:tabs>
          <w:tab w:leader="none" w:pos="1440" w:val="left"/>
        </w:tabs>
        <w:spacing w:after="0" w:before="0" w:line="100" w:lineRule="atLeast"/>
        <w:ind w:hanging="360" w:left="720" w:right="0"/>
        <w:jc w:val="both"/>
      </w:pPr>
      <w:r>
        <w:rPr>
          <w:rFonts w:ascii="Times New Roman" w:hAnsi="Times New Roman"/>
        </w:rPr>
        <w:t>3)</w:t>
        <w:tab/>
        <w:t>in case of interruptions in studying, for the reasons set forth in the regulations of the Law on Higher Education, the University shall not be liable to the foreigner for the inability to return to the previous field of study (specialisation) because of its liquidation or non-launch in a given academic year.</w:t>
      </w:r>
    </w:p>
    <w:p>
      <w:pPr>
        <w:pStyle w:val="style0"/>
        <w:tabs>
          <w:tab w:leader="none" w:pos="1440" w:val="left"/>
        </w:tabs>
        <w:spacing w:after="0" w:before="0" w:line="100" w:lineRule="atLeast"/>
        <w:ind w:hanging="360" w:left="720" w:right="0"/>
      </w:pPr>
      <w:r>
        <w:rPr>
          <w:rFonts w:ascii="Times New Roman" w:hAnsi="Times New Roman"/>
        </w:rPr>
      </w:r>
    </w:p>
    <w:p>
      <w:pPr>
        <w:pStyle w:val="style0"/>
        <w:ind w:hanging="360" w:left="360" w:right="0"/>
        <w:jc w:val="both"/>
      </w:pPr>
      <w:r>
        <w:rPr>
          <w:rFonts w:ascii="Times New Roman" w:hAnsi="Times New Roman"/>
          <w:color w:val="000000"/>
        </w:rPr>
        <w:t>2.</w:t>
        <w:tab/>
        <w:t>The foreigner shall declare that:</w:t>
      </w:r>
    </w:p>
    <w:p>
      <w:pPr>
        <w:pStyle w:val="style0"/>
        <w:ind w:hanging="425" w:left="709" w:right="0"/>
        <w:jc w:val="both"/>
      </w:pPr>
      <w:r>
        <w:rPr>
          <w:rFonts w:ascii="Times New Roman" w:hAnsi="Times New Roman"/>
          <w:color w:val="000000"/>
        </w:rPr>
        <w:t>1)</w:t>
      </w:r>
      <w:r>
        <w:rPr/>
        <w:tab/>
      </w:r>
      <w:r>
        <w:rPr>
          <w:rFonts w:ascii="Times New Roman" w:hAnsi="Times New Roman"/>
          <w:color w:val="000000"/>
        </w:rPr>
        <w:t>she/he knows the Statute of the University and the Study Regulations in force at the University. At the same time, she/he shall declare that she/he does not raise objections to the curriculum on the chosen field of study. The content of the mentioned documents is available on the website of the University.</w:t>
      </w:r>
    </w:p>
    <w:p>
      <w:pPr>
        <w:pStyle w:val="style0"/>
        <w:shd w:fill="FFFFFF" w:val="clear"/>
        <w:spacing w:after="0" w:before="28" w:line="100" w:lineRule="atLeast"/>
        <w:ind w:hanging="425" w:left="709" w:right="0"/>
        <w:jc w:val="both"/>
      </w:pPr>
      <w:r>
        <w:rPr>
          <w:rFonts w:ascii="Times New Roman" w:hAnsi="Times New Roman"/>
        </w:rPr>
        <w:t>2)</w:t>
      </w:r>
      <w:r>
        <w:rPr/>
        <w:tab/>
      </w:r>
      <w:r>
        <w:rPr>
          <w:rFonts w:ascii="Times New Roman" w:hAnsi="Times New Roman"/>
        </w:rPr>
        <w:t>she/he completed a year of preparatory activities to undertake studies in the Polish language in the units designated by the Minister for the Higher Education, or she/he holds a certificate confirming the knowledge of the Polish language issued by the State Commission for the Certification of Proficiency in Polish as a Foreign Language.</w:t>
      </w:r>
    </w:p>
    <w:p>
      <w:pPr>
        <w:pStyle w:val="style0"/>
        <w:jc w:val="center"/>
      </w:pPr>
      <w:r>
        <w:rPr>
          <w:rFonts w:ascii="Times New Roman" w:hAnsi="Times New Roman"/>
        </w:rPr>
        <w:t>§ 3</w:t>
      </w:r>
    </w:p>
    <w:p>
      <w:pPr>
        <w:pStyle w:val="style0"/>
        <w:numPr>
          <w:ilvl w:val="0"/>
          <w:numId w:val="2"/>
        </w:numPr>
        <w:spacing w:after="0" w:before="0" w:line="100" w:lineRule="atLeast"/>
        <w:ind w:hanging="0" w:left="360" w:right="0"/>
        <w:jc w:val="both"/>
      </w:pPr>
      <w:r>
        <w:rPr>
          <w:rFonts w:ascii="Times New Roman" w:hAnsi="Times New Roman"/>
        </w:rPr>
        <w:t xml:space="preserve">The foreigner shall be obliged to pay the fees for classes in the amount of PLN ........................... per year (say: ..............................................……) for one year of study to the bank account indicated by the University or to the cash register of the University. In the absence of its lack in payment centres of the Bank, with which the University of Opole has entered into an agreement on cash lodgements and redemptions, according to the Regulation of the Rector of the University of Opole. </w:t>
      </w:r>
    </w:p>
    <w:p>
      <w:pPr>
        <w:pStyle w:val="style0"/>
        <w:spacing w:after="0" w:before="0" w:line="100" w:lineRule="atLeast"/>
        <w:ind w:hanging="0" w:left="360" w:right="0"/>
        <w:jc w:val="both"/>
      </w:pPr>
      <w:r>
        <w:rPr>
          <w:rFonts w:ascii="Times New Roman" w:hAnsi="Times New Roman"/>
        </w:rPr>
        <w:t>The total amount of the fees described in the preceding sentence that the Foreigner is obliged to pay for the fees for the classes for the entire planned period of study is PLN ............................ (say: ..............................................……).</w:t>
      </w:r>
    </w:p>
    <w:p>
      <w:pPr>
        <w:pStyle w:val="style0"/>
        <w:tabs>
          <w:tab w:leader="none" w:pos="360" w:val="left"/>
        </w:tabs>
        <w:spacing w:after="0" w:before="0"/>
      </w:pPr>
      <w:r>
        <w:rPr>
          <w:rFonts w:ascii="Times New Roman" w:hAnsi="Times New Roman"/>
        </w:rPr>
      </w:r>
    </w:p>
    <w:p>
      <w:pPr>
        <w:pStyle w:val="style0"/>
        <w:numPr>
          <w:ilvl w:val="0"/>
          <w:numId w:val="2"/>
        </w:numPr>
        <w:spacing w:after="0" w:before="0" w:line="100" w:lineRule="atLeast"/>
        <w:ind w:hanging="0" w:left="360" w:right="0"/>
        <w:jc w:val="both"/>
      </w:pPr>
      <w:r>
        <w:rPr>
          <w:rFonts w:ascii="Times New Roman" w:hAnsi="Times New Roman"/>
        </w:rPr>
        <w:t>The fees referred to in par. 1 shall be paid per:</w:t>
      </w:r>
    </w:p>
    <w:p>
      <w:pPr>
        <w:pStyle w:val="style0"/>
        <w:spacing w:after="0" w:before="0" w:line="100" w:lineRule="atLeast"/>
        <w:ind w:hanging="0" w:left="709" w:right="0"/>
        <w:jc w:val="both"/>
      </w:pPr>
      <w:r>
        <w:rPr>
          <w:rFonts w:ascii="Times New Roman" w:hAnsi="Times New Roman"/>
        </w:rPr>
        <w:t>- winter semester – before 10 October,</w:t>
      </w:r>
    </w:p>
    <w:p>
      <w:pPr>
        <w:pStyle w:val="style0"/>
        <w:spacing w:after="0" w:before="0" w:line="100" w:lineRule="atLeast"/>
        <w:ind w:hanging="0" w:left="709" w:right="0"/>
        <w:jc w:val="both"/>
      </w:pPr>
      <w:r>
        <w:rPr>
          <w:rFonts w:ascii="Times New Roman" w:hAnsi="Times New Roman"/>
        </w:rPr>
        <w:t>- summer semester – until 10 March.</w:t>
      </w:r>
    </w:p>
    <w:p>
      <w:pPr>
        <w:pStyle w:val="style0"/>
        <w:spacing w:after="0" w:before="0"/>
      </w:pPr>
      <w:r>
        <w:rPr>
          <w:rFonts w:ascii="Times New Roman" w:hAnsi="Times New Roman"/>
        </w:rPr>
      </w:r>
    </w:p>
    <w:p>
      <w:pPr>
        <w:pStyle w:val="style25"/>
        <w:numPr>
          <w:ilvl w:val="0"/>
          <w:numId w:val="2"/>
        </w:numPr>
        <w:tabs>
          <w:tab w:leader="none" w:pos="568" w:val="left"/>
        </w:tabs>
        <w:ind w:hanging="284" w:left="284" w:right="0"/>
        <w:jc w:val="both"/>
      </w:pPr>
      <w:r>
        <w:rPr>
          <w:sz w:val="22"/>
        </w:rPr>
        <w:t>The delay in the fees payment for educational services listed in par. 1 shall be the basis for calculating interest for default in the amount specified in separate regulations. The receivable non-settlement, after prior request for its payment and the expiration of an additionally specified time, shall result in the expulsion.</w:t>
      </w:r>
    </w:p>
    <w:p>
      <w:pPr>
        <w:pStyle w:val="style25"/>
        <w:jc w:val="both"/>
      </w:pPr>
      <w:r>
        <w:rPr/>
      </w:r>
    </w:p>
    <w:p>
      <w:pPr>
        <w:pStyle w:val="style26"/>
        <w:numPr>
          <w:ilvl w:val="0"/>
          <w:numId w:val="2"/>
        </w:numPr>
        <w:tabs>
          <w:tab w:leader="none" w:pos="568" w:val="left"/>
        </w:tabs>
        <w:spacing w:after="0" w:before="0"/>
        <w:ind w:hanging="284" w:left="284" w:right="0"/>
        <w:jc w:val="both"/>
      </w:pPr>
      <w:r>
        <w:rPr>
          <w:rFonts w:ascii="Times New Roman" w:hAnsi="Times New Roman"/>
          <w:color w:val="000000"/>
        </w:rPr>
        <w:t>In justified cases, upon reasoned request by the foreigner, the rector may extend the deadline for the fee payment or agree to pay the fees in instalments, separately for each academic year or semester.</w:t>
      </w:r>
    </w:p>
    <w:p>
      <w:pPr>
        <w:pStyle w:val="style0"/>
        <w:spacing w:after="0" w:before="0"/>
        <w:ind w:hanging="360" w:left="360" w:right="0"/>
        <w:jc w:val="both"/>
      </w:pPr>
      <w:r>
        <w:rPr>
          <w:rFonts w:ascii="Times New Roman" w:hAnsi="Times New Roman"/>
          <w:color w:val="000000"/>
        </w:rPr>
      </w:r>
    </w:p>
    <w:p>
      <w:pPr>
        <w:pStyle w:val="style26"/>
        <w:numPr>
          <w:ilvl w:val="0"/>
          <w:numId w:val="2"/>
        </w:numPr>
        <w:tabs>
          <w:tab w:leader="none" w:pos="568" w:val="left"/>
        </w:tabs>
        <w:spacing w:after="0" w:before="0"/>
        <w:ind w:hanging="284" w:left="284" w:right="0"/>
        <w:jc w:val="both"/>
      </w:pPr>
      <w:r>
        <w:rPr>
          <w:rFonts w:ascii="Times New Roman" w:hAnsi="Times New Roman"/>
          <w:color w:val="000000"/>
        </w:rPr>
        <w:t xml:space="preserve">In the case of the foreigner’s financial difficulties or if she/he undertook studying in another field of study or training in another education form on a fee-paying basis, the rector, upon a request by the person concerned, may reduce the tuition fee or release from it entirely on the principles resulting from separate regulations. </w:t>
      </w:r>
    </w:p>
    <w:p>
      <w:pPr>
        <w:pStyle w:val="style0"/>
        <w:spacing w:after="0" w:before="0"/>
        <w:ind w:hanging="357" w:left="357" w:right="0"/>
        <w:jc w:val="both"/>
      </w:pPr>
      <w:r>
        <w:rPr>
          <w:rFonts w:ascii="Times New Roman" w:hAnsi="Times New Roman"/>
        </w:rPr>
      </w:r>
    </w:p>
    <w:p>
      <w:pPr>
        <w:pStyle w:val="style26"/>
        <w:numPr>
          <w:ilvl w:val="0"/>
          <w:numId w:val="2"/>
        </w:numPr>
        <w:tabs>
          <w:tab w:leader="none" w:pos="568" w:val="left"/>
        </w:tabs>
        <w:spacing w:after="0" w:before="0"/>
        <w:ind w:hanging="284" w:left="284" w:right="0"/>
        <w:jc w:val="both"/>
      </w:pPr>
      <w:r>
        <w:rPr>
          <w:rFonts w:ascii="Times New Roman" w:hAnsi="Times New Roman"/>
        </w:rPr>
        <w:t>The University shall reserve the right to change the fees for the classes referred to in par. 1 in the event of changes in the curriculum or due to extraordinary circumstances, which the parties did not foresee at entering into the Contract. The change in the fees for classes shall require entering into a contract.</w:t>
      </w:r>
    </w:p>
    <w:p>
      <w:pPr>
        <w:pStyle w:val="style0"/>
        <w:spacing w:after="0" w:before="0" w:line="100" w:lineRule="atLeast"/>
        <w:ind w:hanging="0" w:left="284" w:right="0"/>
      </w:pPr>
      <w:r>
        <w:rPr>
          <w:rFonts w:ascii="Times New Roman" w:hAnsi="Times New Roman"/>
        </w:rPr>
      </w:r>
    </w:p>
    <w:p>
      <w:pPr>
        <w:pStyle w:val="style0"/>
        <w:tabs>
          <w:tab w:leader="none" w:pos="720" w:val="left"/>
        </w:tabs>
        <w:spacing w:after="120" w:before="0" w:line="100" w:lineRule="atLeast"/>
        <w:ind w:hanging="360" w:left="360" w:right="0"/>
        <w:jc w:val="both"/>
      </w:pPr>
      <w:r>
        <w:rPr>
          <w:rFonts w:ascii="Times New Roman" w:hAnsi="Times New Roman"/>
        </w:rPr>
        <w:t>7.</w:t>
        <w:tab/>
        <w:t>Regardless of the fees for classes, referred to in pars. 1 and 2, the foreigner shall undertake to pay for:</w:t>
      </w:r>
    </w:p>
    <w:p>
      <w:pPr>
        <w:pStyle w:val="style0"/>
        <w:tabs>
          <w:tab w:leader="none" w:pos="720" w:val="left"/>
        </w:tabs>
        <w:ind w:hanging="0" w:left="360" w:right="0"/>
      </w:pPr>
      <w:r>
        <w:rPr>
          <w:rFonts w:ascii="Times New Roman" w:hAnsi="Times New Roman"/>
        </w:rPr>
        <w:t>1)</w:t>
        <w:tab/>
        <w:t>repeating classes due to unsatisfactory academic achievements:</w:t>
      </w:r>
    </w:p>
    <w:p>
      <w:pPr>
        <w:pStyle w:val="style0"/>
        <w:tabs>
          <w:tab w:leader="none" w:pos="1986" w:val="left"/>
        </w:tabs>
        <w:spacing w:after="0" w:before="0" w:line="100" w:lineRule="atLeast"/>
        <w:ind w:hanging="284" w:left="993" w:right="0"/>
      </w:pPr>
      <w:r>
        <w:rPr>
          <w:rFonts w:ascii="Times New Roman" w:hAnsi="Times New Roman"/>
        </w:rPr>
        <w:t>a)</w:t>
        <w:tab/>
        <w:t>repeating a semester due to unsatisfactory academic achievements in the following fields of study:</w:t>
      </w:r>
    </w:p>
    <w:p>
      <w:pPr>
        <w:pStyle w:val="style0"/>
        <w:tabs>
          <w:tab w:leader="none" w:pos="2836" w:val="left"/>
        </w:tabs>
        <w:spacing w:after="0" w:before="0" w:line="100" w:lineRule="atLeast"/>
        <w:ind w:hanging="142" w:left="1418" w:right="0"/>
      </w:pPr>
      <w:r>
        <w:rPr>
          <w:rFonts w:ascii="Times New Roman" w:hAnsi="Times New Roman"/>
        </w:rPr>
        <w:t>-</w:t>
        <w:tab/>
        <w:t>humanities, economics, administration, mathematics and theology – PLN 600 per semester,</w:t>
      </w:r>
    </w:p>
    <w:p>
      <w:pPr>
        <w:pStyle w:val="style0"/>
        <w:tabs>
          <w:tab w:leader="none" w:pos="2552" w:val="left"/>
        </w:tabs>
        <w:spacing w:after="0" w:before="0" w:line="100" w:lineRule="atLeast"/>
        <w:ind w:hanging="0" w:left="1276" w:right="0"/>
      </w:pPr>
      <w:r>
        <w:rPr>
          <w:rFonts w:ascii="Times New Roman" w:hAnsi="Times New Roman"/>
        </w:rPr>
        <w:t>-</w:t>
        <w:tab/>
        <w:t>experimental and artistic – PLN 700 per semester,</w:t>
      </w:r>
    </w:p>
    <w:p>
      <w:pPr>
        <w:pStyle w:val="style0"/>
        <w:tabs>
          <w:tab w:leader="none" w:pos="1702" w:val="left"/>
        </w:tabs>
        <w:spacing w:after="0" w:before="0" w:line="100" w:lineRule="atLeast"/>
        <w:ind w:hanging="0" w:left="709" w:right="0"/>
      </w:pPr>
      <w:r>
        <w:rPr>
          <w:rFonts w:ascii="Times New Roman" w:hAnsi="Times New Roman"/>
        </w:rPr>
        <w:t>b)</w:t>
        <w:tab/>
        <w:t>for repeating a foreign language course – PLN 250 per semester,</w:t>
      </w:r>
    </w:p>
    <w:p>
      <w:pPr>
        <w:pStyle w:val="style0"/>
        <w:tabs>
          <w:tab w:leader="none" w:pos="717" w:val="left"/>
          <w:tab w:leader="none" w:pos="1208" w:val="left"/>
          <w:tab w:leader="none" w:pos="1350" w:val="left"/>
        </w:tabs>
        <w:spacing w:after="0" w:before="0" w:line="100" w:lineRule="atLeast"/>
        <w:ind w:firstLine="352" w:left="357" w:right="0"/>
      </w:pPr>
      <w:r>
        <w:rPr>
          <w:rFonts w:ascii="Times New Roman" w:hAnsi="Times New Roman"/>
        </w:rPr>
        <w:t>c)</w:t>
        <w:tab/>
        <w:t>for repeating the subject within the conditional course credit – PLN 250,</w:t>
      </w:r>
    </w:p>
    <w:p>
      <w:pPr>
        <w:pStyle w:val="style0"/>
        <w:tabs>
          <w:tab w:leader="none" w:pos="717" w:val="left"/>
          <w:tab w:leader="none" w:pos="1350" w:val="left"/>
        </w:tabs>
        <w:spacing w:after="0" w:before="0" w:line="100" w:lineRule="atLeast"/>
        <w:ind w:firstLine="352" w:left="357" w:right="0"/>
      </w:pPr>
      <w:r>
        <w:rPr>
          <w:rFonts w:ascii="Times New Roman" w:hAnsi="Times New Roman"/>
        </w:rPr>
        <w:t>d)</w:t>
        <w:tab/>
        <w:t>repeating the laboratory within the conditional course credit – PLN 350,</w:t>
      </w:r>
    </w:p>
    <w:p>
      <w:pPr>
        <w:pStyle w:val="style0"/>
        <w:tabs>
          <w:tab w:leader="none" w:pos="1986" w:val="left"/>
        </w:tabs>
        <w:spacing w:after="0" w:before="0" w:line="100" w:lineRule="atLeast"/>
        <w:ind w:hanging="284" w:left="993" w:right="0"/>
      </w:pPr>
      <w:r>
        <w:rPr>
          <w:rFonts w:ascii="Times New Roman" w:hAnsi="Times New Roman"/>
        </w:rPr>
        <w:t>e)</w:t>
        <w:tab/>
        <w:t>for the continuation of foreign language learning for more than the limit specified in the curriculum plan</w:t>
      </w:r>
      <w:r>
        <w:rPr>
          <w:rFonts w:ascii="Times New Roman" w:hAnsi="Times New Roman"/>
          <w:strike/>
        </w:rPr>
        <w:t xml:space="preserve"> </w:t>
      </w:r>
      <w:r>
        <w:rPr>
          <w:rFonts w:ascii="Times New Roman" w:hAnsi="Times New Roman"/>
        </w:rPr>
        <w:t>– PLN 250 per semester,</w:t>
      </w:r>
    </w:p>
    <w:p>
      <w:pPr>
        <w:pStyle w:val="style0"/>
        <w:tabs>
          <w:tab w:leader="none" w:pos="720" w:val="left"/>
        </w:tabs>
        <w:ind w:hanging="0" w:left="360" w:right="0"/>
      </w:pPr>
      <w:r>
        <w:rPr>
          <w:rFonts w:ascii="Times New Roman" w:hAnsi="Times New Roman"/>
        </w:rPr>
        <w:t>2)</w:t>
        <w:tab/>
        <w:t>classes not covered by the curriculum plan,</w:t>
      </w:r>
    </w:p>
    <w:p>
      <w:pPr>
        <w:pStyle w:val="style0"/>
        <w:tabs>
          <w:tab w:leader="none" w:pos="1418" w:val="left"/>
        </w:tabs>
        <w:ind w:hanging="349" w:left="709" w:right="0"/>
        <w:jc w:val="both"/>
      </w:pPr>
      <w:r>
        <w:rPr>
          <w:rFonts w:ascii="Times New Roman" w:hAnsi="Times New Roman"/>
        </w:rPr>
        <w:t>3)</w:t>
        <w:tab/>
        <w:t>other fees provided for by commonly applicable law, in particular for: issuing a student card, a registration book, a higher education diploma and their duplicates.</w:t>
      </w:r>
    </w:p>
    <w:p>
      <w:pPr>
        <w:pStyle w:val="style0"/>
        <w:tabs>
          <w:tab w:leader="none" w:pos="717" w:val="left"/>
        </w:tabs>
        <w:spacing w:after="0" w:before="0" w:line="100" w:lineRule="atLeast"/>
        <w:ind w:hanging="357" w:left="357" w:right="0"/>
        <w:jc w:val="both"/>
      </w:pPr>
      <w:r>
        <w:rPr>
          <w:rFonts w:ascii="Times New Roman" w:hAnsi="Times New Roman"/>
        </w:rPr>
        <w:t>8.</w:t>
        <w:tab/>
        <w:t>The fees for repeating the classes due to unsatisfactory academic achievements and for the activities not covered by the curriculum plan shall be lodged to the bank account indicated by the University, and in the lack thereof in the Bank payment centres, with which the University has entered into the on cash lodgements and redemptions at the following dates:</w:t>
      </w:r>
    </w:p>
    <w:p>
      <w:pPr>
        <w:pStyle w:val="style25"/>
        <w:ind w:hanging="141" w:left="567" w:right="0"/>
      </w:pPr>
      <w:r>
        <w:rPr>
          <w:sz w:val="22"/>
        </w:rPr>
        <w:t>a)</w:t>
      </w:r>
      <w:r>
        <w:rPr/>
        <w:tab/>
      </w:r>
      <w:r>
        <w:rPr>
          <w:sz w:val="22"/>
        </w:rPr>
        <w:t xml:space="preserve">for repetition of the classes listed in par. 7 point 1, before the beginning of each semester: </w:t>
      </w:r>
    </w:p>
    <w:p>
      <w:pPr>
        <w:pStyle w:val="style25"/>
        <w:ind w:hanging="0" w:left="567" w:right="0"/>
      </w:pPr>
      <w:r>
        <w:rPr>
          <w:sz w:val="22"/>
        </w:rPr>
        <w:t>-</w:t>
        <w:tab/>
        <w:t>winter one – before 30 September,</w:t>
      </w:r>
    </w:p>
    <w:p>
      <w:pPr>
        <w:pStyle w:val="style25"/>
        <w:ind w:hanging="0" w:left="567" w:right="0"/>
      </w:pPr>
      <w:bookmarkStart w:id="0" w:name="_GoBack"/>
      <w:bookmarkEnd w:id="0"/>
      <w:r>
        <w:rPr>
          <w:sz w:val="22"/>
        </w:rPr>
        <w:t>-</w:t>
        <w:tab/>
        <w:t>summer one – before 28 February ,</w:t>
      </w:r>
    </w:p>
    <w:p>
      <w:pPr>
        <w:pStyle w:val="style25"/>
        <w:tabs>
          <w:tab w:leader="none" w:pos="1418" w:val="left"/>
        </w:tabs>
        <w:ind w:hanging="283" w:left="709" w:right="0"/>
        <w:jc w:val="both"/>
      </w:pPr>
      <w:r>
        <w:rPr>
          <w:sz w:val="22"/>
        </w:rPr>
        <w:t>b)</w:t>
      </w:r>
      <w:r>
        <w:rPr/>
        <w:tab/>
      </w:r>
      <w:r>
        <w:rPr>
          <w:sz w:val="22"/>
        </w:rPr>
        <w:t>for other forms mentioned in par. 7, point 2 – 7 days before the start of classes, and in the case of activities lasting over 1 semester – 7 days before the beginning of each semester.</w:t>
      </w:r>
    </w:p>
    <w:p>
      <w:pPr>
        <w:pStyle w:val="style0"/>
        <w:tabs>
          <w:tab w:leader="none" w:pos="717" w:val="left"/>
        </w:tabs>
        <w:spacing w:after="0" w:before="0" w:line="100" w:lineRule="atLeast"/>
        <w:ind w:hanging="141" w:left="357" w:right="0"/>
      </w:pPr>
      <w:r>
        <w:rPr>
          <w:rFonts w:ascii="Times New Roman" w:hAnsi="Times New Roman"/>
          <w:color w:val="FF0000"/>
        </w:rPr>
      </w:r>
    </w:p>
    <w:p>
      <w:pPr>
        <w:pStyle w:val="style0"/>
        <w:tabs>
          <w:tab w:leader="none" w:pos="717" w:val="left"/>
        </w:tabs>
        <w:spacing w:after="0" w:before="0" w:line="100" w:lineRule="atLeast"/>
        <w:ind w:hanging="357" w:left="357" w:right="0"/>
        <w:jc w:val="both"/>
      </w:pPr>
      <w:r>
        <w:rPr>
          <w:rFonts w:ascii="Times New Roman" w:hAnsi="Times New Roman"/>
        </w:rPr>
        <w:t>9.</w:t>
        <w:tab/>
        <w:t>The foreigner shall declare that she/he is familiar with the Regulation of the Rector of the University of Opole on fees for educational services and their collection dates for a given academic year, the contents of which can be found at www.uni.opole.pl.</w:t>
      </w:r>
    </w:p>
    <w:p>
      <w:pPr>
        <w:pStyle w:val="style0"/>
        <w:spacing w:after="0" w:before="0"/>
        <w:jc w:val="center"/>
      </w:pPr>
      <w:r>
        <w:rPr>
          <w:rFonts w:ascii="Times New Roman" w:hAnsi="Times New Roman"/>
        </w:rPr>
      </w:r>
    </w:p>
    <w:p>
      <w:pPr>
        <w:pStyle w:val="style0"/>
        <w:jc w:val="center"/>
      </w:pPr>
      <w:r>
        <w:rPr>
          <w:rFonts w:ascii="Times New Roman" w:hAnsi="Times New Roman"/>
        </w:rPr>
        <w:t>§ 4</w:t>
      </w:r>
    </w:p>
    <w:p>
      <w:pPr>
        <w:pStyle w:val="style0"/>
        <w:spacing w:after="0" w:before="0" w:line="100" w:lineRule="atLeast"/>
        <w:jc w:val="both"/>
      </w:pPr>
      <w:r>
        <w:rPr>
          <w:rFonts w:ascii="Times New Roman" w:hAnsi="Times New Roman"/>
          <w:color w:val="000000"/>
        </w:rPr>
        <w:t>Re-admission may occur after the payment of the due fee together with statutory interest. The interest for default shall be charged for the period after the date of the required lodgement until the day of the cash inflow to the University’s account.</w:t>
      </w:r>
    </w:p>
    <w:p>
      <w:pPr>
        <w:pStyle w:val="style0"/>
        <w:spacing w:after="0" w:before="0"/>
      </w:pPr>
      <w:r>
        <w:rPr>
          <w:rFonts w:ascii="Times New Roman" w:hAnsi="Times New Roman"/>
          <w:color w:val="000000"/>
        </w:rPr>
      </w:r>
    </w:p>
    <w:p>
      <w:pPr>
        <w:pStyle w:val="style0"/>
        <w:jc w:val="center"/>
      </w:pPr>
      <w:r>
        <w:rPr>
          <w:rFonts w:ascii="Times New Roman" w:hAnsi="Times New Roman"/>
          <w:color w:val="000000"/>
        </w:rPr>
        <w:t>§ 5</w:t>
      </w:r>
    </w:p>
    <w:p>
      <w:pPr>
        <w:pStyle w:val="style0"/>
        <w:spacing w:after="0" w:before="0" w:line="100" w:lineRule="atLeast"/>
        <w:jc w:val="both"/>
      </w:pPr>
      <w:r>
        <w:rPr>
          <w:rFonts w:ascii="Times New Roman" w:hAnsi="Times New Roman"/>
        </w:rPr>
        <w:t>The University, while meeting the requirements resulting from the personal data protection provisions in the studies conduction process, shall burden the foreigner with the obligation to notify it in writing on the change in her/his personal data included herein. The foreigner shall burden the consequences of failing to comply with this obligation.</w:t>
      </w:r>
    </w:p>
    <w:p>
      <w:pPr>
        <w:pStyle w:val="style0"/>
        <w:jc w:val="center"/>
      </w:pPr>
      <w:r>
        <w:rPr>
          <w:rFonts w:ascii="Times New Roman" w:hAnsi="Times New Roman"/>
          <w:color w:val="000000"/>
        </w:rPr>
        <w:t>§ 6</w:t>
      </w:r>
    </w:p>
    <w:p>
      <w:pPr>
        <w:pStyle w:val="style0"/>
        <w:spacing w:after="0" w:before="0" w:line="100" w:lineRule="atLeast"/>
        <w:jc w:val="both"/>
      </w:pPr>
      <w:r>
        <w:rPr>
          <w:rFonts w:ascii="Times New Roman" w:hAnsi="Times New Roman"/>
        </w:rPr>
        <w:t>This Contract shall be concluded for the duration of studies, as specified in the curriculum plan, i.e. for .................... semesters.</w:t>
      </w:r>
    </w:p>
    <w:p>
      <w:pPr>
        <w:pStyle w:val="style0"/>
        <w:ind w:hanging="360" w:left="360" w:right="0"/>
        <w:jc w:val="center"/>
      </w:pPr>
      <w:r>
        <w:rPr>
          <w:rFonts w:ascii="Times New Roman" w:hAnsi="Times New Roman"/>
          <w:color w:val="000000"/>
        </w:rPr>
        <w:t>§ 7</w:t>
      </w:r>
    </w:p>
    <w:p>
      <w:pPr>
        <w:pStyle w:val="style0"/>
        <w:jc w:val="both"/>
      </w:pPr>
      <w:r>
        <w:rPr>
          <w:rFonts w:ascii="Times New Roman" w:hAnsi="Times New Roman"/>
          <w:color w:val="000000"/>
        </w:rPr>
        <w:t>The contract termination or withdrawal shall not release the foreigner from the obligation to pay the due tuition fee.</w:t>
      </w:r>
    </w:p>
    <w:p>
      <w:pPr>
        <w:pStyle w:val="style0"/>
        <w:jc w:val="center"/>
      </w:pPr>
      <w:r>
        <w:rPr>
          <w:rFonts w:ascii="Times New Roman" w:hAnsi="Times New Roman"/>
          <w:color w:val="000000"/>
        </w:rPr>
        <w:t>§ 8</w:t>
      </w:r>
    </w:p>
    <w:p>
      <w:pPr>
        <w:pStyle w:val="style0"/>
        <w:numPr>
          <w:ilvl w:val="0"/>
          <w:numId w:val="1"/>
        </w:numPr>
        <w:tabs>
          <w:tab w:leader="none" w:pos="568" w:val="left"/>
        </w:tabs>
        <w:spacing w:after="0" w:before="0" w:line="100" w:lineRule="atLeast"/>
        <w:ind w:hanging="284" w:left="284" w:right="0"/>
      </w:pPr>
      <w:r>
        <w:rPr>
          <w:rFonts w:ascii="Times New Roman" w:hAnsi="Times New Roman"/>
          <w:color w:val="000000"/>
        </w:rPr>
        <w:t>The tuition fees shall be non-refundable, subject to par. 2.</w:t>
      </w:r>
    </w:p>
    <w:p>
      <w:pPr>
        <w:pStyle w:val="style0"/>
        <w:spacing w:after="0" w:before="0"/>
      </w:pPr>
      <w:r>
        <w:rPr>
          <w:rFonts w:ascii="Times New Roman" w:hAnsi="Times New Roman"/>
          <w:color w:val="000000"/>
        </w:rPr>
      </w:r>
    </w:p>
    <w:p>
      <w:pPr>
        <w:pStyle w:val="style0"/>
        <w:numPr>
          <w:ilvl w:val="0"/>
          <w:numId w:val="1"/>
        </w:numPr>
        <w:tabs>
          <w:tab w:leader="none" w:pos="568" w:val="left"/>
        </w:tabs>
        <w:spacing w:after="0" w:before="0" w:line="100" w:lineRule="atLeast"/>
        <w:ind w:hanging="284" w:left="284" w:right="0"/>
        <w:jc w:val="both"/>
      </w:pPr>
      <w:r>
        <w:rPr>
          <w:rFonts w:ascii="Times New Roman" w:hAnsi="Times New Roman"/>
          <w:color w:val="000000"/>
        </w:rPr>
        <w:t>The tuition fees shall be refundable if the foreigner was granted leave of absence or resigned from study for medical reasons confirmed by a medical certificate or other valid, documented unforeseen reasons.</w:t>
      </w:r>
    </w:p>
    <w:p>
      <w:pPr>
        <w:pStyle w:val="style0"/>
        <w:spacing w:after="0" w:before="0" w:line="100" w:lineRule="atLeast"/>
        <w:ind w:hanging="0" w:left="360" w:right="0"/>
        <w:jc w:val="both"/>
      </w:pPr>
      <w:r>
        <w:rPr>
          <w:rFonts w:ascii="Times New Roman" w:hAnsi="Times New Roman"/>
          <w:color w:val="000000"/>
        </w:rPr>
      </w:r>
    </w:p>
    <w:p>
      <w:pPr>
        <w:pStyle w:val="style0"/>
        <w:numPr>
          <w:ilvl w:val="0"/>
          <w:numId w:val="1"/>
        </w:numPr>
        <w:tabs>
          <w:tab w:leader="none" w:pos="568" w:val="left"/>
        </w:tabs>
        <w:spacing w:after="0" w:before="0" w:line="100" w:lineRule="atLeast"/>
        <w:ind w:hanging="284" w:left="284" w:right="0"/>
        <w:jc w:val="both"/>
      </w:pPr>
      <w:r>
        <w:rPr>
          <w:rFonts w:ascii="Times New Roman" w:hAnsi="Times New Roman"/>
          <w:color w:val="000000"/>
        </w:rPr>
        <w:t>The University shall return the payment within 21 days from the date of the written request to the competent Dean.</w:t>
      </w:r>
    </w:p>
    <w:p>
      <w:pPr>
        <w:pStyle w:val="style0"/>
        <w:jc w:val="center"/>
      </w:pPr>
      <w:r>
        <w:rPr>
          <w:rFonts w:ascii="Times New Roman" w:hAnsi="Times New Roman"/>
          <w:color w:val="000000"/>
        </w:rPr>
        <w:t>§ 9</w:t>
      </w:r>
    </w:p>
    <w:p>
      <w:pPr>
        <w:pStyle w:val="style26"/>
        <w:numPr>
          <w:ilvl w:val="1"/>
          <w:numId w:val="1"/>
        </w:numPr>
        <w:tabs>
          <w:tab w:leader="none" w:pos="568" w:val="left"/>
        </w:tabs>
        <w:spacing w:after="0" w:before="0"/>
        <w:ind w:hanging="284" w:left="284" w:right="0"/>
      </w:pPr>
      <w:r>
        <w:rPr>
          <w:rFonts w:ascii="Times New Roman" w:hAnsi="Times New Roman"/>
          <w:color w:val="000000"/>
        </w:rPr>
        <w:t>The change in the provisions thereof shall be deemed invalid unless made in writing.</w:t>
      </w:r>
    </w:p>
    <w:p>
      <w:pPr>
        <w:pStyle w:val="style0"/>
        <w:tabs>
          <w:tab w:leader="none" w:pos="2160" w:val="left"/>
        </w:tabs>
        <w:spacing w:after="0" w:before="0" w:line="100" w:lineRule="atLeast"/>
        <w:ind w:hanging="360" w:left="1080" w:right="0"/>
        <w:jc w:val="both"/>
      </w:pPr>
      <w:r>
        <w:rPr>
          <w:rFonts w:ascii="Times New Roman" w:hAnsi="Times New Roman"/>
        </w:rPr>
      </w:r>
    </w:p>
    <w:p>
      <w:pPr>
        <w:pStyle w:val="style26"/>
        <w:numPr>
          <w:ilvl w:val="1"/>
          <w:numId w:val="1"/>
        </w:numPr>
        <w:tabs>
          <w:tab w:leader="none" w:pos="568" w:val="left"/>
        </w:tabs>
        <w:spacing w:after="0" w:before="0" w:line="100" w:lineRule="atLeast"/>
        <w:ind w:hanging="284" w:left="284" w:right="0"/>
        <w:jc w:val="both"/>
      </w:pPr>
      <w:r>
        <w:rPr>
          <w:rFonts w:ascii="Times New Roman" w:hAnsi="Times New Roman"/>
        </w:rPr>
        <w:t>In cases not covered herein, the Polish law provisions, included in the</w:t>
      </w:r>
      <w:r>
        <w:rPr>
          <w:rFonts w:ascii="Times New Roman" w:hAnsi="Times New Roman"/>
          <w:color w:val="00B0F0"/>
        </w:rPr>
        <w:t xml:space="preserve"> </w:t>
      </w:r>
      <w:r>
        <w:rPr>
          <w:rFonts w:ascii="Times New Roman" w:hAnsi="Times New Roman"/>
        </w:rPr>
        <w:t xml:space="preserve">act of 27 July 2005, </w:t>
      </w:r>
      <w:r>
        <w:rPr>
          <w:rFonts w:ascii="Times New Roman" w:hAnsi="Times New Roman"/>
          <w:i/>
        </w:rPr>
        <w:t>Law on Higher Education,</w:t>
      </w:r>
      <w:r>
        <w:rPr>
          <w:rFonts w:ascii="Times New Roman" w:hAnsi="Times New Roman"/>
        </w:rPr>
        <w:t xml:space="preserve"> the Regulation of the Minister of Science and Higher Education of 12 October 2006 on undertaking education and studying within higher education by foreigners and their participation in scientific research and development works (Journal of Law No. 190, item 1406, as amended) and the relevant provisions of the Civil Code shall apply.</w:t>
      </w:r>
    </w:p>
    <w:p>
      <w:pPr>
        <w:pStyle w:val="style0"/>
        <w:tabs>
          <w:tab w:leader="none" w:pos="568" w:val="left"/>
        </w:tabs>
        <w:spacing w:after="0" w:before="0"/>
        <w:ind w:hanging="284" w:left="284" w:right="0"/>
        <w:jc w:val="both"/>
      </w:pPr>
      <w:r>
        <w:rPr>
          <w:rFonts w:ascii="Times New Roman" w:hAnsi="Times New Roman"/>
        </w:rPr>
      </w:r>
    </w:p>
    <w:p>
      <w:pPr>
        <w:pStyle w:val="style0"/>
        <w:tabs>
          <w:tab w:leader="none" w:pos="568" w:val="left"/>
        </w:tabs>
        <w:ind w:hanging="284" w:left="284" w:right="0"/>
        <w:jc w:val="both"/>
      </w:pPr>
      <w:r>
        <w:rPr>
          <w:rFonts w:ascii="Times New Roman" w:hAnsi="Times New Roman"/>
        </w:rPr>
        <w:t>3.</w:t>
        <w:tab/>
        <w:t>The Parties shall submit any disputes arising from this Contract to the Polish</w:t>
      </w:r>
      <w:r>
        <w:rPr>
          <w:rFonts w:ascii="Times New Roman" w:hAnsi="Times New Roman"/>
          <w:color w:val="00B0F0"/>
        </w:rPr>
        <w:t xml:space="preserve"> </w:t>
      </w:r>
      <w:r>
        <w:rPr>
          <w:rFonts w:ascii="Times New Roman" w:hAnsi="Times New Roman"/>
        </w:rPr>
        <w:t>courts materially and locally competent</w:t>
      </w:r>
      <w:r>
        <w:rPr>
          <w:rFonts w:ascii="Times New Roman" w:hAnsi="Times New Roman"/>
          <w:color w:val="00B0F0"/>
        </w:rPr>
        <w:t xml:space="preserve"> </w:t>
      </w:r>
      <w:r>
        <w:rPr>
          <w:rFonts w:ascii="Times New Roman" w:hAnsi="Times New Roman"/>
        </w:rPr>
        <w:t>for settlement in accordance with the general principles.</w:t>
      </w:r>
    </w:p>
    <w:p>
      <w:pPr>
        <w:pStyle w:val="style0"/>
        <w:spacing w:line="276" w:lineRule="auto"/>
        <w:ind w:hanging="284" w:left="284" w:right="0"/>
      </w:pPr>
      <w:r>
        <w:rPr>
          <w:rFonts w:ascii="Times New Roman" w:hAnsi="Times New Roman"/>
        </w:rPr>
        <w:t>4.</w:t>
        <w:tab/>
        <w:t>The Contract shall be received by:</w:t>
      </w:r>
    </w:p>
    <w:p>
      <w:pPr>
        <w:pStyle w:val="style0"/>
        <w:numPr>
          <w:ilvl w:val="0"/>
          <w:numId w:val="3"/>
        </w:numPr>
        <w:tabs>
          <w:tab w:leader="none" w:pos="567" w:val="left"/>
        </w:tabs>
        <w:spacing w:after="0" w:before="0" w:line="276" w:lineRule="auto"/>
        <w:ind w:hanging="1492" w:left="0" w:right="0"/>
        <w:jc w:val="both"/>
      </w:pPr>
      <w:r>
        <w:rPr>
          <w:rFonts w:ascii="Times New Roman" w:hAnsi="Times New Roman"/>
        </w:rPr>
        <w:t>Foreigner – one copy in Polish/one copy in English</w:t>
      </w:r>
      <w:r>
        <w:rPr>
          <w:rFonts w:ascii="Times New Roman" w:hAnsi="Times New Roman"/>
          <w:vertAlign w:val="superscript"/>
        </w:rPr>
        <w:t>*</w:t>
      </w:r>
      <w:r>
        <w:rPr>
          <w:rFonts w:ascii="Times New Roman" w:hAnsi="Times New Roman"/>
        </w:rPr>
        <w:t>,</w:t>
      </w:r>
    </w:p>
    <w:p>
      <w:pPr>
        <w:pStyle w:val="style0"/>
        <w:numPr>
          <w:ilvl w:val="0"/>
          <w:numId w:val="3"/>
        </w:numPr>
        <w:tabs>
          <w:tab w:leader="none" w:pos="567" w:val="left"/>
        </w:tabs>
        <w:spacing w:after="0" w:before="0" w:line="276" w:lineRule="auto"/>
        <w:ind w:hanging="1492" w:left="0" w:right="0"/>
        <w:jc w:val="both"/>
      </w:pPr>
      <w:r>
        <w:rPr>
          <w:rFonts w:ascii="Times New Roman" w:hAnsi="Times New Roman"/>
        </w:rPr>
        <w:t>University – one copy in Polish/one copy in English</w:t>
      </w:r>
      <w:r>
        <w:rPr>
          <w:rFonts w:ascii="Times New Roman" w:hAnsi="Times New Roman"/>
          <w:vertAlign w:val="superscript"/>
        </w:rPr>
        <w:t>*</w:t>
      </w:r>
      <w:r>
        <w:rPr>
          <w:rFonts w:ascii="Times New Roman" w:hAnsi="Times New Roman"/>
        </w:rPr>
        <w:t xml:space="preserve">, </w:t>
      </w:r>
    </w:p>
    <w:p>
      <w:pPr>
        <w:pStyle w:val="style0"/>
      </w:pPr>
      <w:r>
        <w:rPr>
          <w:rFonts w:ascii="Times New Roman" w:hAnsi="Times New Roman"/>
        </w:rPr>
      </w:r>
    </w:p>
    <w:p>
      <w:pPr>
        <w:pStyle w:val="style0"/>
        <w:tabs>
          <w:tab w:leader="none" w:pos="6521" w:val="left"/>
        </w:tabs>
      </w:pPr>
      <w:r>
        <w:rPr>
          <w:rFonts w:ascii="Times New Roman" w:hAnsi="Times New Roman"/>
        </w:rPr>
        <w:t>……………………………………………</w:t>
      </w:r>
      <w:r>
        <w:rPr>
          <w:rFonts w:ascii="Times New Roman" w:hAnsi="Times New Roman"/>
        </w:rPr>
        <w:t>..</w:t>
        <w:tab/>
        <w:t>……………………………</w:t>
      </w:r>
    </w:p>
    <w:p>
      <w:pPr>
        <w:pStyle w:val="style0"/>
        <w:tabs>
          <w:tab w:leader="none" w:pos="6946" w:val="left"/>
        </w:tabs>
      </w:pPr>
      <w:r>
        <w:rPr>
          <w:rFonts w:ascii="Times New Roman" w:hAnsi="Times New Roman"/>
          <w:sz w:val="18"/>
        </w:rPr>
        <w:t>/the University representative’s signature/</w:t>
      </w:r>
      <w:r>
        <w:rPr/>
        <w:tab/>
      </w:r>
      <w:r>
        <w:rPr>
          <w:rFonts w:ascii="Times New Roman" w:hAnsi="Times New Roman"/>
          <w:sz w:val="18"/>
        </w:rPr>
        <w:t>/Foreigner’s signature/</w:t>
      </w:r>
    </w:p>
    <w:p>
      <w:pPr>
        <w:pStyle w:val="style0"/>
      </w:pPr>
      <w:r>
        <w:rPr>
          <w:rFonts w:ascii="Times New Roman" w:hAnsi="Times New Roman"/>
          <w:color w:val="000000"/>
          <w:sz w:val="18"/>
        </w:rPr>
        <w:t>_____________</w:t>
      </w:r>
    </w:p>
    <w:p>
      <w:pPr>
        <w:pStyle w:val="style0"/>
      </w:pPr>
      <w:r>
        <w:rPr>
          <w:rFonts w:ascii="Times New Roman" w:hAnsi="Times New Roman"/>
          <w:i/>
          <w:color w:val="000000"/>
          <w:sz w:val="18"/>
        </w:rPr>
        <w:t>*delete as appropriate</w:t>
      </w:r>
    </w:p>
    <w:p>
      <w:pPr>
        <w:pStyle w:val="style0"/>
        <w:widowControl/>
        <w:spacing w:after="160" w:before="0" w:line="256" w:lineRule="auto"/>
      </w:pPr>
      <w:r>
        <w:rPr/>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440" w:val="num"/>
        </w:tabs>
        <w:ind w:hanging="360" w:left="1440"/>
      </w:pPr>
      <w:rPr/>
    </w:lvl>
    <w:lvl w:ilvl="2">
      <w:start w:val="1"/>
      <w:numFmt w:val="decimal"/>
      <w:lvlText w:val="%2.%3."/>
      <w:lvlJc w:val="left"/>
      <w:pPr>
        <w:tabs>
          <w:tab w:pos="2160" w:val="num"/>
        </w:tabs>
        <w:ind w:hanging="360" w:left="2160"/>
      </w:pPr>
      <w:rPr/>
    </w:lvl>
    <w:lvl w:ilvl="3">
      <w:start w:val="1"/>
      <w:numFmt w:val="decimal"/>
      <w:lvlText w:val="%2.%3.%4."/>
      <w:lvlJc w:val="left"/>
      <w:pPr>
        <w:tabs>
          <w:tab w:pos="2880" w:val="num"/>
        </w:tabs>
        <w:ind w:hanging="360" w:left="2880"/>
      </w:pPr>
      <w:rPr/>
    </w:lvl>
    <w:lvl w:ilvl="4">
      <w:start w:val="1"/>
      <w:numFmt w:val="decimal"/>
      <w:lvlText w:val="%2.%3.%4.%5."/>
      <w:lvlJc w:val="left"/>
      <w:pPr>
        <w:tabs>
          <w:tab w:pos="3600" w:val="num"/>
        </w:tabs>
        <w:ind w:hanging="360" w:left="3600"/>
      </w:pPr>
      <w:rPr/>
    </w:lvl>
    <w:lvl w:ilvl="5">
      <w:start w:val="1"/>
      <w:numFmt w:val="decimal"/>
      <w:lvlText w:val="%2.%3.%4.%5.%6."/>
      <w:lvlJc w:val="left"/>
      <w:pPr>
        <w:tabs>
          <w:tab w:pos="4320" w:val="num"/>
        </w:tabs>
        <w:ind w:hanging="360" w:left="4320"/>
      </w:pPr>
      <w:rPr/>
    </w:lvl>
    <w:lvl w:ilvl="6">
      <w:start w:val="1"/>
      <w:numFmt w:val="decimal"/>
      <w:lvlText w:val="%2.%3.%4.%5.%6.%7."/>
      <w:lvlJc w:val="left"/>
      <w:pPr>
        <w:tabs>
          <w:tab w:pos="5040" w:val="num"/>
        </w:tabs>
        <w:ind w:hanging="360" w:left="5040"/>
      </w:pPr>
      <w:rPr/>
    </w:lvl>
    <w:lvl w:ilvl="7">
      <w:start w:val="1"/>
      <w:numFmt w:val="decimal"/>
      <w:lvlText w:val="%2.%3.%4.%5.%6.%7.%8."/>
      <w:lvlJc w:val="left"/>
      <w:pPr>
        <w:tabs>
          <w:tab w:pos="5760" w:val="num"/>
        </w:tabs>
        <w:ind w:hanging="360" w:left="5760"/>
      </w:pPr>
      <w:rPr/>
    </w:lvl>
    <w:lvl w:ilvl="8">
      <w:start w:val="1"/>
      <w:numFmt w:val="decimal"/>
      <w:lvlText w:val="%2.%3.%4.%5.%6.%7.%8.%9."/>
      <w:lvlJc w:val="left"/>
      <w:pPr>
        <w:tabs>
          <w:tab w:pos="6480" w:val="num"/>
        </w:tabs>
        <w:ind w:hanging="360" w:left="6480"/>
      </w:pPr>
      <w:rPr/>
    </w:lvl>
  </w:abstractNum>
  <w:abstractNum w:abstractNumId="2">
    <w:lvl w:ilvl="0">
      <w:start w:val="1"/>
      <w:numFmt w:val="decimal"/>
      <w:lvlText w:val="%1."/>
      <w:lvlJc w:val="left"/>
      <w:pPr>
        <w:tabs>
          <w:tab w:pos="720" w:val="num"/>
        </w:tabs>
        <w:ind w:hanging="360" w:left="720"/>
      </w:pPr>
      <w:rPr/>
    </w:lvl>
    <w:lvl w:ilvl="1">
      <w:start w:val="1"/>
      <w:numFmt w:val="lowerLetter"/>
      <w:lvlText w:val="%2."/>
      <w:lvlJc w:val="left"/>
      <w:pPr>
        <w:tabs>
          <w:tab w:pos="1440" w:val="num"/>
        </w:tabs>
        <w:ind w:hanging="360" w:left="1440"/>
      </w:pPr>
      <w:rPr/>
    </w:lvl>
    <w:lvl w:ilvl="2">
      <w:start w:val="1"/>
      <w:numFmt w:val="lowerRoman"/>
      <w:lvlText w:val="%2.%3."/>
      <w:lvlJc w:val="right"/>
      <w:pPr>
        <w:tabs>
          <w:tab w:pos="2160" w:val="num"/>
        </w:tabs>
        <w:ind w:hanging="180" w:left="2160"/>
      </w:pPr>
      <w:rPr/>
    </w:lvl>
    <w:lvl w:ilvl="3">
      <w:start w:val="1"/>
      <w:numFmt w:val="decimal"/>
      <w:lvlText w:val="%2.%3.%4."/>
      <w:lvlJc w:val="left"/>
      <w:pPr>
        <w:tabs>
          <w:tab w:pos="2880" w:val="num"/>
        </w:tabs>
        <w:ind w:hanging="360" w:left="2880"/>
      </w:pPr>
      <w:rPr/>
    </w:lvl>
    <w:lvl w:ilvl="4">
      <w:start w:val="1"/>
      <w:numFmt w:val="lowerLetter"/>
      <w:lvlText w:val="%2.%3.%4.%5."/>
      <w:lvlJc w:val="left"/>
      <w:pPr>
        <w:tabs>
          <w:tab w:pos="3600" w:val="num"/>
        </w:tabs>
        <w:ind w:hanging="360" w:left="3600"/>
      </w:pPr>
      <w:rPr/>
    </w:lvl>
    <w:lvl w:ilvl="5">
      <w:start w:val="1"/>
      <w:numFmt w:val="lowerRoman"/>
      <w:lvlText w:val="%2.%3.%4.%5.%6."/>
      <w:lvlJc w:val="right"/>
      <w:pPr>
        <w:tabs>
          <w:tab w:pos="4320" w:val="num"/>
        </w:tabs>
        <w:ind w:hanging="180" w:left="4320"/>
      </w:pPr>
      <w:rPr/>
    </w:lvl>
    <w:lvl w:ilvl="6">
      <w:start w:val="1"/>
      <w:numFmt w:val="decimal"/>
      <w:lvlText w:val="%2.%3.%4.%5.%6.%7."/>
      <w:lvlJc w:val="left"/>
      <w:pPr>
        <w:tabs>
          <w:tab w:pos="5040" w:val="num"/>
        </w:tabs>
        <w:ind w:hanging="360" w:left="5040"/>
      </w:pPr>
      <w:rPr/>
    </w:lvl>
    <w:lvl w:ilvl="7">
      <w:start w:val="1"/>
      <w:numFmt w:val="lowerLetter"/>
      <w:lvlText w:val="%2.%3.%4.%5.%6.%7.%8."/>
      <w:lvlJc w:val="left"/>
      <w:pPr>
        <w:tabs>
          <w:tab w:pos="5760" w:val="num"/>
        </w:tabs>
        <w:ind w:hanging="360" w:left="5760"/>
      </w:pPr>
      <w:rPr/>
    </w:lvl>
    <w:lvl w:ilvl="8">
      <w:start w:val="1"/>
      <w:numFmt w:val="lowerRoman"/>
      <w:lvlText w:val="%2.%3.%4.%5.%6.%7.%8.%9."/>
      <w:lvlJc w:val="right"/>
      <w:pPr>
        <w:tabs>
          <w:tab w:pos="6480" w:val="num"/>
        </w:tabs>
        <w:ind w:hanging="180" w:left="6480"/>
      </w:pPr>
      <w:rPr/>
    </w:lvl>
  </w:abstractNum>
  <w:abstractNum w:abstractNumId="3">
    <w:lvl w:ilvl="0">
      <w:start w:val="1"/>
      <w:numFmt w:val="decimal"/>
      <w:lvlText w:val="%1)"/>
      <w:lvlJc w:val="left"/>
      <w:pPr>
        <w:tabs>
          <w:tab w:pos="1776" w:val="num"/>
        </w:tabs>
        <w:ind w:hanging="360" w:left="1776"/>
      </w:pPr>
      <w:rPr/>
    </w:lvl>
    <w:lvl w:ilvl="1">
      <w:start w:val="1"/>
      <w:numFmt w:val="lowerLetter"/>
      <w:lvlText w:val="%2."/>
      <w:lvlJc w:val="left"/>
      <w:pPr>
        <w:tabs>
          <w:tab w:pos="2496" w:val="num"/>
        </w:tabs>
        <w:ind w:hanging="360" w:left="2496"/>
      </w:pPr>
      <w:rPr/>
    </w:lvl>
    <w:lvl w:ilvl="2">
      <w:start w:val="1"/>
      <w:numFmt w:val="lowerRoman"/>
      <w:lvlText w:val="%2.%3."/>
      <w:lvlJc w:val="right"/>
      <w:pPr>
        <w:tabs>
          <w:tab w:pos="3216" w:val="num"/>
        </w:tabs>
        <w:ind w:hanging="180" w:left="3216"/>
      </w:pPr>
      <w:rPr/>
    </w:lvl>
    <w:lvl w:ilvl="3">
      <w:start w:val="1"/>
      <w:numFmt w:val="decimal"/>
      <w:lvlText w:val="%2.%3.%4."/>
      <w:lvlJc w:val="left"/>
      <w:pPr>
        <w:tabs>
          <w:tab w:pos="3936" w:val="num"/>
        </w:tabs>
        <w:ind w:hanging="360" w:left="3936"/>
      </w:pPr>
      <w:rPr/>
    </w:lvl>
    <w:lvl w:ilvl="4">
      <w:start w:val="1"/>
      <w:numFmt w:val="lowerLetter"/>
      <w:lvlText w:val="%2.%3.%4.%5."/>
      <w:lvlJc w:val="left"/>
      <w:pPr>
        <w:tabs>
          <w:tab w:pos="4656" w:val="num"/>
        </w:tabs>
        <w:ind w:hanging="360" w:left="4656"/>
      </w:pPr>
      <w:rPr/>
    </w:lvl>
    <w:lvl w:ilvl="5">
      <w:start w:val="1"/>
      <w:numFmt w:val="lowerRoman"/>
      <w:lvlText w:val="%2.%3.%4.%5.%6."/>
      <w:lvlJc w:val="right"/>
      <w:pPr>
        <w:tabs>
          <w:tab w:pos="5376" w:val="num"/>
        </w:tabs>
        <w:ind w:hanging="180" w:left="5376"/>
      </w:pPr>
      <w:rPr/>
    </w:lvl>
    <w:lvl w:ilvl="6">
      <w:start w:val="1"/>
      <w:numFmt w:val="decimal"/>
      <w:lvlText w:val="%2.%3.%4.%5.%6.%7."/>
      <w:lvlJc w:val="left"/>
      <w:pPr>
        <w:tabs>
          <w:tab w:pos="6096" w:val="num"/>
        </w:tabs>
        <w:ind w:hanging="360" w:left="6096"/>
      </w:pPr>
      <w:rPr/>
    </w:lvl>
    <w:lvl w:ilvl="7">
      <w:start w:val="1"/>
      <w:numFmt w:val="lowerLetter"/>
      <w:lvlText w:val="%2.%3.%4.%5.%6.%7.%8."/>
      <w:lvlJc w:val="left"/>
      <w:pPr>
        <w:tabs>
          <w:tab w:pos="6816" w:val="num"/>
        </w:tabs>
        <w:ind w:hanging="360" w:left="6816"/>
      </w:pPr>
      <w:rPr/>
    </w:lvl>
    <w:lvl w:ilvl="8">
      <w:start w:val="1"/>
      <w:numFmt w:val="lowerRoman"/>
      <w:lvlText w:val="%2.%3.%4.%5.%6.%7.%8.%9."/>
      <w:lvlJc w:val="right"/>
      <w:pPr>
        <w:tabs>
          <w:tab w:pos="7536" w:val="num"/>
        </w:tabs>
        <w:ind w:hanging="180" w:left="7536"/>
      </w:pPr>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omyślnie"/>
    <w:next w:val="style0"/>
    <w:pPr>
      <w:widowControl/>
      <w:tabs>
        <w:tab w:leader="none" w:pos="709" w:val="left"/>
      </w:tabs>
      <w:suppressAutoHyphens w:val="true"/>
      <w:spacing w:after="160" w:before="0" w:line="256" w:lineRule="auto"/>
    </w:pPr>
    <w:rPr>
      <w:rFonts w:ascii="Calibri" w:cs="Times New Roman" w:eastAsia="Calibri" w:hAnsi="Calibri"/>
      <w:color w:val="auto"/>
      <w:sz w:val="22"/>
      <w:szCs w:val="22"/>
      <w:lang w:bidi="ar-SA" w:eastAsia="en-GB" w:val="en-GB"/>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Body Text Indent Char"/>
    <w:basedOn w:val="style15"/>
    <w:next w:val="style17"/>
    <w:rPr>
      <w:rFonts w:ascii="Times New Roman" w:cs="Times New Roman" w:hAnsi="Times New Roman"/>
      <w:sz w:val="24"/>
      <w:szCs w:val="24"/>
      <w:lang w:eastAsia="en-GB"/>
    </w:rPr>
  </w:style>
  <w:style w:styleId="style18" w:type="character">
    <w:name w:val="ListLabel 1"/>
    <w:next w:val="style18"/>
    <w:rPr>
      <w:rFonts w:cs="Times New Roman"/>
    </w:rPr>
  </w:style>
  <w:style w:styleId="style19" w:type="paragraph">
    <w:name w:val="Nagłówek"/>
    <w:basedOn w:val="style0"/>
    <w:next w:val="style20"/>
    <w:pPr>
      <w:keepNext/>
      <w:spacing w:after="120" w:before="240"/>
    </w:pPr>
    <w:rPr>
      <w:rFonts w:ascii="Arial" w:cs="Arial" w:eastAsia="Microsoft YaHei" w:hAnsi="Arial"/>
      <w:sz w:val="28"/>
      <w:szCs w:val="28"/>
    </w:rPr>
  </w:style>
  <w:style w:styleId="style20" w:type="paragraph">
    <w:name w:val="Treść tekstu"/>
    <w:basedOn w:val="style0"/>
    <w:next w:val="style20"/>
    <w:pPr>
      <w:spacing w:after="120" w:before="0"/>
    </w:pPr>
    <w:rPr/>
  </w:style>
  <w:style w:styleId="style21" w:type="paragraph">
    <w:name w:val="Lista"/>
    <w:basedOn w:val="style20"/>
    <w:next w:val="style21"/>
    <w:pPr/>
    <w:rPr>
      <w:rFonts w:cs="Arial"/>
    </w:rPr>
  </w:style>
  <w:style w:styleId="style22" w:type="paragraph">
    <w:name w:val="Podpis"/>
    <w:basedOn w:val="style0"/>
    <w:next w:val="style22"/>
    <w:pPr>
      <w:suppressLineNumbers/>
      <w:spacing w:after="120" w:before="120"/>
    </w:pPr>
    <w:rPr>
      <w:rFonts w:cs="Arial"/>
      <w:i/>
      <w:iCs/>
      <w:sz w:val="24"/>
      <w:szCs w:val="24"/>
    </w:rPr>
  </w:style>
  <w:style w:styleId="style23" w:type="paragraph">
    <w:name w:val="Indeks"/>
    <w:basedOn w:val="style0"/>
    <w:next w:val="style23"/>
    <w:pPr>
      <w:suppressLineNumbers/>
    </w:pPr>
    <w:rPr>
      <w:rFonts w:cs="Arial"/>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Wcięcie tekstu"/>
    <w:basedOn w:val="style0"/>
    <w:next w:val="style25"/>
    <w:pPr>
      <w:spacing w:after="0" w:before="0" w:line="100" w:lineRule="atLeast"/>
      <w:ind w:hanging="360" w:left="360" w:right="0"/>
    </w:pPr>
    <w:rPr>
      <w:rFonts w:ascii="Times New Roman" w:eastAsia="Times New Roman" w:hAnsi="Times New Roman"/>
      <w:sz w:val="20"/>
      <w:szCs w:val="24"/>
    </w:rPr>
  </w:style>
  <w:style w:styleId="style26" w:type="paragraph">
    <w:name w:val="List Paragraph"/>
    <w:basedOn w:val="style0"/>
    <w:next w:val="style26"/>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31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2016-07-19T08:02:00.00Z</dcterms:created>
  <dc:creator>Anna</dc:creator>
  <cp:lastModifiedBy>Lingo</cp:lastModifiedBy>
  <cp:lastPrinted>2016-05-23T09:04:00.00Z</cp:lastPrinted>
  <dcterms:modified xsi:type="dcterms:W3CDTF">2016-08-02T10:41:00.00Z</dcterms:modified>
  <cp:revision>8</cp:revision>
</cp:coreProperties>
</file>